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3"/>
      </w:tblGrid>
      <w:tr w14:paraId="4EC0DDE5">
        <w:trPr>
          <w:cantSplit/>
          <w:trHeight w:val="1748" w:hRule="atLeast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</w:tcPr>
          <w:p w14:paraId="013361C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100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/>
                <w:w w:val="80"/>
                <w:szCs w:val="11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w w:val="50"/>
                <w:sz w:val="108"/>
                <w:szCs w:val="108"/>
              </w:rPr>
              <w:t>全国大学生智能应用开发大赛组委会</w:t>
            </w:r>
          </w:p>
        </w:tc>
      </w:tr>
      <w:tr w14:paraId="06562979">
        <w:trPr>
          <w:cantSplit/>
          <w:trHeight w:val="452" w:hRule="atLeast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</w:tcPr>
          <w:p w14:paraId="212F7C6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/>
                <w:w w:val="50"/>
                <w:sz w:val="108"/>
                <w:szCs w:val="10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w w:val="100"/>
                <w:sz w:val="32"/>
                <w:szCs w:val="32"/>
                <w:lang w:val="en-US" w:eastAsia="zh-CN"/>
              </w:rPr>
              <w:t>组委会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w w:val="100"/>
                <w:sz w:val="32"/>
                <w:szCs w:val="32"/>
              </w:rPr>
              <w:t>〔2026〕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w w:val="10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w w:val="100"/>
                <w:sz w:val="32"/>
                <w:szCs w:val="32"/>
              </w:rPr>
              <w:t>号</w:t>
            </w:r>
          </w:p>
        </w:tc>
      </w:tr>
      <w:tr w14:paraId="0087B71C">
        <w:trPr>
          <w:cantSplit/>
          <w:trHeight w:val="335" w:hRule="atLeast"/>
        </w:trPr>
        <w:tc>
          <w:tcPr>
            <w:tcW w:w="8843" w:type="dxa"/>
            <w:tcBorders>
              <w:top w:val="nil"/>
              <w:left w:val="nil"/>
              <w:bottom w:val="single" w:color="FF0000" w:sz="24" w:space="0"/>
              <w:right w:val="nil"/>
            </w:tcBorders>
          </w:tcPr>
          <w:p w14:paraId="516F551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w w:val="100"/>
                <w:sz w:val="28"/>
                <w:szCs w:val="28"/>
              </w:rPr>
            </w:pPr>
          </w:p>
        </w:tc>
      </w:tr>
      <w:tr w14:paraId="7FCE1A97">
        <w:trPr>
          <w:cantSplit/>
          <w:trHeight w:val="476" w:hRule="atLeast"/>
        </w:trPr>
        <w:tc>
          <w:tcPr>
            <w:tcW w:w="8843" w:type="dxa"/>
            <w:tcBorders>
              <w:top w:val="single" w:color="FF0000" w:sz="24" w:space="0"/>
              <w:left w:val="nil"/>
              <w:bottom w:val="nil"/>
              <w:right w:val="nil"/>
            </w:tcBorders>
            <w:vAlign w:val="center"/>
          </w:tcPr>
          <w:p w14:paraId="79163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Cs/>
                <w:sz w:val="36"/>
                <w:szCs w:val="36"/>
              </w:rPr>
            </w:pPr>
          </w:p>
        </w:tc>
      </w:tr>
      <w:tr w14:paraId="4AE88AE3">
        <w:trPr>
          <w:cantSplit/>
          <w:trHeight w:val="612" w:hRule="atLeast"/>
        </w:trPr>
        <w:tc>
          <w:tcPr>
            <w:tcW w:w="8843" w:type="dxa"/>
            <w:tcBorders>
              <w:top w:val="nil"/>
            </w:tcBorders>
            <w:shd w:val="clear" w:color="auto" w:fill="auto"/>
            <w:vAlign w:val="center"/>
          </w:tcPr>
          <w:p w14:paraId="2A4D0DBE">
            <w:pPr>
              <w:spacing w:line="540" w:lineRule="exact"/>
              <w:ind w:firstLine="0" w:firstLineChars="0"/>
              <w:jc w:val="center"/>
              <w:rPr>
                <w:rFonts w:ascii="方正小标宋_GBK" w:hAnsi="方正小标宋_GBK" w:eastAsia="方正小标宋_GBK" w:cs="方正小标宋_GBK"/>
                <w:bCs/>
                <w:sz w:val="44"/>
                <w:szCs w:val="44"/>
              </w:rPr>
            </w:pPr>
            <w:r>
              <w:rPr>
                <w:rFonts w:ascii="方正小标宋_GBK" w:hAnsi="方正小标宋_GBK" w:eastAsia="方正小标宋_GBK" w:cs="方正小标宋_GBK"/>
                <w:bCs/>
                <w:sz w:val="44"/>
                <w:szCs w:val="44"/>
              </w:rPr>
              <w:t>关于公布全国大学生智能应用开发大赛</w:t>
            </w:r>
            <w:r>
              <w:rPr>
                <w:rFonts w:hint="eastAsia" w:ascii="方正小标宋_GBK" w:hAnsi="方正小标宋_GBK" w:eastAsia="方正小标宋_GBK" w:cs="方正小标宋_GBK"/>
                <w:bCs/>
                <w:sz w:val="44"/>
                <w:szCs w:val="44"/>
              </w:rPr>
              <w:t>（2026）</w:t>
            </w:r>
          </w:p>
          <w:p w14:paraId="742CB27E">
            <w:pPr>
              <w:spacing w:line="540" w:lineRule="exact"/>
              <w:ind w:firstLine="0" w:firstLineChars="0"/>
              <w:jc w:val="center"/>
              <w:rPr>
                <w:rFonts w:hint="default" w:ascii="方正小标宋_GBK" w:hAnsi="方正小标宋_GBK" w:eastAsia="方正小标宋_GBK" w:cs="方正小标宋_GBK"/>
                <w:bCs/>
                <w:sz w:val="44"/>
                <w:szCs w:val="44"/>
                <w:lang w:val="en-US" w:eastAsia="zh-CN"/>
              </w:rPr>
            </w:pPr>
            <w:r>
              <w:rPr>
                <w:rFonts w:ascii="方正小标宋_GBK" w:hAnsi="方正小标宋_GBK" w:eastAsia="方正小标宋_GBK" w:cs="方正小标宋_GBK"/>
                <w:bCs/>
                <w:sz w:val="44"/>
                <w:szCs w:val="44"/>
              </w:rPr>
              <w:t>评审规则的通知</w:t>
            </w:r>
          </w:p>
        </w:tc>
      </w:tr>
      <w:tr w14:paraId="6D391EE3">
        <w:trPr>
          <w:cantSplit/>
          <w:trHeight w:val="523" w:hRule="exact"/>
        </w:trPr>
        <w:tc>
          <w:tcPr>
            <w:tcW w:w="8843" w:type="dxa"/>
            <w:vAlign w:val="center"/>
          </w:tcPr>
          <w:p w14:paraId="51731F5B">
            <w:pPr>
              <w:overflowPunct w:val="0"/>
              <w:topLinePunct/>
              <w:spacing w:line="240" w:lineRule="auto"/>
              <w:jc w:val="center"/>
              <w:rPr>
                <w:rFonts w:ascii="GWZT-EN" w:hAnsi="仿宋" w:eastAsia="仿宋" w:cs="仿宋"/>
                <w:sz w:val="32"/>
              </w:rPr>
            </w:pPr>
          </w:p>
        </w:tc>
      </w:tr>
    </w:tbl>
    <w:p w14:paraId="00A72ABB">
      <w:pPr>
        <w:pStyle w:val="20"/>
        <w:ind w:right="0" w:rightChars="0"/>
        <w:jc w:val="left"/>
        <w:rPr>
          <w:rFonts w:ascii="方正仿宋_GB2312" w:hAnsi="方正仿宋_GB2312" w:eastAsia="方正仿宋_GB2312" w:cs="方正仿宋_GB2312"/>
          <w:bCs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Cs w:val="32"/>
        </w:rPr>
        <w:t>各有关高等学校、职业院校、相关单位：</w:t>
      </w:r>
    </w:p>
    <w:p w14:paraId="281EF531">
      <w:pPr>
        <w:pStyle w:val="21"/>
        <w:ind w:firstLine="640"/>
        <w:rPr>
          <w:rFonts w:hint="default"/>
        </w:rPr>
      </w:pPr>
      <w:r>
        <w:t>根据</w:t>
      </w:r>
      <w:r>
        <w:rPr>
          <w:rFonts w:hint="default"/>
        </w:rPr>
        <w:t>全国大学生智能应用开发大赛</w:t>
      </w:r>
      <w:r>
        <w:t>（2026）的工作安排，经研究，现将大赛的评审规则予以公布。</w:t>
      </w:r>
    </w:p>
    <w:p w14:paraId="46B1278D">
      <w:pPr>
        <w:pStyle w:val="21"/>
        <w:ind w:firstLine="640"/>
        <w:rPr>
          <w:rFonts w:hint="default"/>
        </w:rPr>
      </w:pPr>
      <w:r>
        <w:t>附件：</w:t>
      </w:r>
      <w:r>
        <w:rPr>
          <w:rFonts w:hint="default"/>
        </w:rPr>
        <w:t>全国大学生智能应用开发大赛</w:t>
      </w:r>
      <w:r>
        <w:t>（2026）评审规则</w:t>
      </w:r>
    </w:p>
    <w:p w14:paraId="15472DE5">
      <w:pPr>
        <w:pStyle w:val="21"/>
        <w:ind w:firstLine="0" w:firstLineChars="0"/>
        <w:rPr>
          <w:rFonts w:hint="default"/>
        </w:rPr>
      </w:pPr>
    </w:p>
    <w:p w14:paraId="66B867EE">
      <w:pPr>
        <w:pStyle w:val="21"/>
        <w:ind w:firstLine="0" w:firstLineChars="0"/>
        <w:rPr>
          <w:rFonts w:hint="default"/>
        </w:rPr>
      </w:pPr>
    </w:p>
    <w:p w14:paraId="4B780913">
      <w:pPr>
        <w:pStyle w:val="21"/>
        <w:ind w:firstLine="640"/>
        <w:jc w:val="right"/>
        <w:rPr>
          <w:rFonts w:hint="default"/>
        </w:rPr>
      </w:pPr>
      <w:r>
        <w:t>全国大学生智能应用开发大赛</w:t>
      </w:r>
      <w:bookmarkStart w:id="0" w:name="_GoBack"/>
      <w:bookmarkEnd w:id="0"/>
      <w:r>
        <w:t>组织委员会</w:t>
      </w:r>
    </w:p>
    <w:p w14:paraId="57010228">
      <w:pPr>
        <w:pStyle w:val="21"/>
        <w:wordWrap w:val="0"/>
        <w:ind w:firstLine="640"/>
        <w:jc w:val="right"/>
        <w:rPr>
          <w:rFonts w:hint="default"/>
        </w:rPr>
      </w:pPr>
      <w:r>
        <w:t>2026年7月1日</w:t>
      </w:r>
      <w:r>
        <w:rPr>
          <w:rFonts w:hint="eastAsia"/>
          <w:lang w:val="en-US" w:eastAsia="zh-CN"/>
        </w:rPr>
        <w:t/>
      </w:r>
      <w:r>
        <w:t/>
      </w:r>
      <w:r>
        <w:rPr>
          <w:rFonts w:hint="eastAsia"/>
          <w:lang w:val="en-US" w:eastAsia="zh-CN"/>
        </w:rPr>
        <w:t/>
      </w:r>
      <w:r>
        <w:t xml:space="preserve"/>
      </w:r>
    </w:p>
    <w:p w14:paraId="5CBC93B8">
      <w:pPr>
        <w:pStyle w:val="21"/>
        <w:ind w:firstLine="0" w:firstLineChars="0"/>
        <w:jc w:val="both"/>
        <w:rPr>
          <w:rFonts w:hint="default"/>
        </w:rPr>
      </w:pPr>
    </w:p>
    <w:p w14:paraId="497BD5DB">
      <w:pPr>
        <w:pStyle w:val="21"/>
        <w:ind w:firstLine="640"/>
        <w:rPr>
          <w:rFonts w:hint="default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26" w:charSpace="0"/>
        </w:sectPr>
      </w:pPr>
    </w:p>
    <w:p w14:paraId="2EC80E7F">
      <w:pPr>
        <w:pStyle w:val="22"/>
        <w:ind w:firstLine="0" w:firstLineChars="0"/>
        <w:rPr>
          <w:rFonts w:hint="default"/>
        </w:rPr>
      </w:pPr>
      <w:r>
        <w:t>附件：</w:t>
      </w:r>
    </w:p>
    <w:p w14:paraId="4BE0F31B">
      <w:pPr>
        <w:pStyle w:val="22"/>
        <w:ind w:firstLine="0" w:firstLineChars="0"/>
        <w:rPr>
          <w:rFonts w:hint="default"/>
        </w:rPr>
      </w:pPr>
    </w:p>
    <w:p w14:paraId="0FDB2BE7">
      <w:pPr>
        <w:spacing w:line="54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ascii="方正小标宋_GBK" w:hAnsi="方正小标宋_GBK" w:eastAsia="方正小标宋_GBK" w:cs="方正小标宋_GBK"/>
          <w:bCs/>
          <w:sz w:val="44"/>
          <w:szCs w:val="44"/>
        </w:rPr>
        <w:t>全国大学生智能应用开发大赛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（2026）</w:t>
      </w:r>
    </w:p>
    <w:p w14:paraId="662FEF45">
      <w:pPr>
        <w:spacing w:line="54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评审规则</w:t>
      </w:r>
    </w:p>
    <w:p w14:paraId="57FB064D">
      <w:pPr>
        <w:pStyle w:val="21"/>
        <w:ind w:firstLine="640"/>
        <w:rPr>
          <w:rFonts w:hint="default"/>
        </w:rPr>
      </w:pPr>
    </w:p>
    <w:p w14:paraId="542DA8D0">
      <w:pPr>
        <w:pStyle w:val="22"/>
        <w:rPr>
          <w:rFonts w:hint="default"/>
        </w:rPr>
      </w:pPr>
      <w:r>
        <w:t>一、基本原则</w:t>
      </w:r>
    </w:p>
    <w:p w14:paraId="76B22287">
      <w:pPr>
        <w:pStyle w:val="21"/>
        <w:ind w:firstLine="640"/>
        <w:rPr>
          <w:rFonts w:hint="default"/>
        </w:rPr>
      </w:pPr>
      <w:r>
        <w:t>大赛组委会坚持分组评价、分道评价、分阶段评价、公开规范评价，确保不同参赛组别及不同赛道项目在相适应的评价体系内接受公正、科学的评审。</w:t>
      </w:r>
    </w:p>
    <w:p w14:paraId="2AE3959F">
      <w:pPr>
        <w:pStyle w:val="21"/>
        <w:ind w:firstLine="640"/>
        <w:rPr>
          <w:rFonts w:hint="default"/>
        </w:rPr>
      </w:pPr>
      <w:r>
        <w:t>大赛评审坚持技术路线中立原则，不限定编程语言、开发框架、操作系统、芯片平台或终端形态，不以特定语言、生态、平台或工具链作为准入前提或隐性加分项。评审重点围绕真实问题、真实开发、真实贡献、可验证成果和持续迭代能力展开。</w:t>
      </w:r>
    </w:p>
    <w:p w14:paraId="77EFC2E9">
      <w:pPr>
        <w:pStyle w:val="21"/>
        <w:ind w:firstLine="640"/>
        <w:rPr>
          <w:rFonts w:hint="default"/>
        </w:rPr>
      </w:pPr>
      <w:r>
        <w:t>职教组、高校组和青年创新组分别组织评审、排序和奖项确认。</w:t>
      </w:r>
    </w:p>
    <w:p w14:paraId="44154FCB">
      <w:pPr>
        <w:pStyle w:val="22"/>
        <w:rPr>
          <w:rFonts w:hint="default"/>
        </w:rPr>
      </w:pPr>
      <w:r>
        <w:t>二、评审阶段与成绩形成</w:t>
      </w:r>
    </w:p>
    <w:tbl>
      <w:tblPr>
        <w:tblStyle w:val="8"/>
        <w:tblW w:w="936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7352"/>
      </w:tblGrid>
      <w:tr w14:paraId="6A0586A4">
        <w:trPr>
          <w:jc w:val="center"/>
        </w:trPr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2EF0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初赛材料评审</w:t>
            </w:r>
          </w:p>
        </w:tc>
        <w:tc>
          <w:tcPr>
            <w:tcW w:w="7352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774B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各赛道均采用对应赛道100分评分表，重点审查项目材料完整性、逻辑清晰度、开发过程证据、成果基础、发展潜力及赛道适配性。</w:t>
            </w:r>
          </w:p>
        </w:tc>
      </w:tr>
      <w:tr w14:paraId="13F1C97C">
        <w:trPr>
          <w:jc w:val="center"/>
        </w:trPr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B381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复核评审</w:t>
            </w:r>
          </w:p>
        </w:tc>
        <w:tc>
          <w:tcPr>
            <w:tcW w:w="7352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2FA1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重点核验参赛身份、项目真实性、知识产权、团队贡献、开发过程证明和成果材料。发现材料缺漏、证据不足或内容不实的，按本细则扣分或取消资格。</w:t>
            </w:r>
          </w:p>
        </w:tc>
      </w:tr>
      <w:tr w14:paraId="4824121A">
        <w:trPr>
          <w:jc w:val="center"/>
        </w:trPr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B4E3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决赛综合评分</w:t>
            </w:r>
          </w:p>
        </w:tc>
        <w:tc>
          <w:tcPr>
            <w:tcW w:w="7352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3BE3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决赛采用“赛道专业评分+现场展示答辩+复核规范性”综合评价。专家结合现场路演、专家问答、演示效果和复核情况形成最终分值。</w:t>
            </w:r>
          </w:p>
        </w:tc>
      </w:tr>
      <w:tr w14:paraId="222D7C38">
        <w:trPr>
          <w:jc w:val="center"/>
        </w:trPr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D7410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结果确认</w:t>
            </w:r>
          </w:p>
        </w:tc>
        <w:tc>
          <w:tcPr>
            <w:tcW w:w="7352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7156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评审结果经专家评审委员会汇总、纪律监督委员会复核、大赛组委会确认后发布。</w:t>
            </w:r>
          </w:p>
        </w:tc>
      </w:tr>
    </w:tbl>
    <w:p w14:paraId="46033BB9">
      <w:pPr>
        <w:pStyle w:val="22"/>
        <w:rPr>
          <w:rFonts w:hint="default"/>
        </w:rPr>
      </w:pPr>
      <w:r>
        <w:t>三、评分口径</w:t>
      </w:r>
    </w:p>
    <w:tbl>
      <w:tblPr>
        <w:tblStyle w:val="8"/>
        <w:tblW w:w="93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7366"/>
      </w:tblGrid>
      <w:tr w14:paraId="2266EF63">
        <w:trPr>
          <w:jc w:val="center"/>
        </w:trPr>
        <w:tc>
          <w:tcPr>
            <w:tcW w:w="199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16F7B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90-100分</w:t>
            </w:r>
          </w:p>
        </w:tc>
        <w:tc>
          <w:tcPr>
            <w:tcW w:w="7366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9A9E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项目表现突出，材料完整可信，问题、方案、开发过程、阶段成果和团队贡献之间能够相互印证。</w:t>
            </w:r>
          </w:p>
        </w:tc>
      </w:tr>
      <w:tr w14:paraId="62319906">
        <w:trPr>
          <w:jc w:val="center"/>
        </w:trPr>
        <w:tc>
          <w:tcPr>
            <w:tcW w:w="199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A69D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80-89分</w:t>
            </w:r>
          </w:p>
        </w:tc>
        <w:tc>
          <w:tcPr>
            <w:tcW w:w="7366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BB592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项目基础较好，核心逻辑清楚，主要证明材料充分，存在少量细节不足但不影响整体判断。</w:t>
            </w:r>
          </w:p>
        </w:tc>
      </w:tr>
      <w:tr w14:paraId="13554DE0">
        <w:trPr>
          <w:jc w:val="center"/>
        </w:trPr>
        <w:tc>
          <w:tcPr>
            <w:tcW w:w="199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8661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70-79分</w:t>
            </w:r>
          </w:p>
        </w:tc>
        <w:tc>
          <w:tcPr>
            <w:tcW w:w="7366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1D50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项目达到参赛基本要求，方向和材料基本完整，但创新性、开发深度、验证质量或表达呈现仍有提升空间。</w:t>
            </w:r>
          </w:p>
        </w:tc>
      </w:tr>
      <w:tr w14:paraId="25BBED4E">
        <w:trPr>
          <w:jc w:val="center"/>
        </w:trPr>
        <w:tc>
          <w:tcPr>
            <w:tcW w:w="199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93AE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60-69分</w:t>
            </w:r>
          </w:p>
        </w:tc>
        <w:tc>
          <w:tcPr>
            <w:tcW w:w="7366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68AE8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项目能够说明基本想法或阶段成果，但材料支撑偏弱，开发过程、团队贡献或验证依据不够充分。</w:t>
            </w:r>
          </w:p>
        </w:tc>
      </w:tr>
      <w:tr w14:paraId="2FCAF242">
        <w:trPr>
          <w:jc w:val="center"/>
        </w:trPr>
        <w:tc>
          <w:tcPr>
            <w:tcW w:w="199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B891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60分以下</w:t>
            </w:r>
          </w:p>
        </w:tc>
        <w:tc>
          <w:tcPr>
            <w:tcW w:w="7366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77406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项目与赛道定位匹配度不足，材料缺漏较多，真实性、完成度、可验证性或团队贡献难以判断。</w:t>
            </w:r>
          </w:p>
        </w:tc>
      </w:tr>
    </w:tbl>
    <w:p w14:paraId="17BC8CEB">
      <w:pPr>
        <w:pStyle w:val="21"/>
        <w:ind w:firstLine="640"/>
        <w:rPr>
          <w:rFonts w:hint="default"/>
        </w:rPr>
      </w:pPr>
      <w:r>
        <w:t>专家评分应坚持独立判断、证据导向和同类比较。对材料中未体现、现场无法说明、问答不能支撑的内容，不得按预期成果或口头承诺直接给高分。</w:t>
      </w:r>
    </w:p>
    <w:p w14:paraId="3776DD07">
      <w:pPr>
        <w:ind w:firstLine="0" w:firstLineChars="0"/>
        <w:sectPr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26" w:charSpace="0"/>
        </w:sectPr>
      </w:pPr>
    </w:p>
    <w:p w14:paraId="660A1E39">
      <w:pPr>
        <w:pStyle w:val="22"/>
        <w:rPr>
          <w:rFonts w:hint="default"/>
        </w:rPr>
      </w:pPr>
      <w:r>
        <w:t>四、萌芽赛道评分细则</w:t>
      </w:r>
    </w:p>
    <w:tbl>
      <w:tblPr>
        <w:tblStyle w:val="8"/>
        <w:tblW w:w="150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878"/>
        <w:gridCol w:w="3717"/>
        <w:gridCol w:w="8747"/>
      </w:tblGrid>
      <w:tr w14:paraId="22B7F14F">
        <w:trPr>
          <w:trHeight w:val="90" w:hRule="atLeast"/>
          <w:tblHeader/>
          <w:jc w:val="center"/>
        </w:trPr>
        <w:tc>
          <w:tcPr>
            <w:tcW w:w="1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651E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评价维度</w:t>
            </w: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061D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分值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6FA1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二级评分观察点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4C43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评分说明</w:t>
            </w:r>
          </w:p>
        </w:tc>
      </w:tr>
      <w:tr w14:paraId="11D8A771">
        <w:trPr>
          <w:trHeight w:val="397" w:hRule="atLeast"/>
          <w:jc w:val="center"/>
        </w:trPr>
        <w:tc>
          <w:tcPr>
            <w:tcW w:w="171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1253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创新潜力</w:t>
            </w:r>
          </w:p>
        </w:tc>
        <w:tc>
          <w:tcPr>
            <w:tcW w:w="878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C72D5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E51C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问题意识与探索价值（10分）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36D65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选题回应真实问题，具有继续探索的必要性。</w:t>
            </w:r>
          </w:p>
        </w:tc>
      </w:tr>
      <w:tr w14:paraId="3FDB493C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C555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1F84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E1B7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创新方向与差异化（10分）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11CC66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解决思路具有一定新意，能够说明与既有做法或同类项目的不同之处。</w:t>
            </w:r>
          </w:p>
        </w:tc>
      </w:tr>
      <w:tr w14:paraId="694B6C18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5570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38149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A9A0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培育空间与延展性（10分）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4E393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具备进一步形成方案、原型、应用场景或持续迭代的可能性。</w:t>
            </w:r>
          </w:p>
        </w:tc>
      </w:tr>
      <w:tr w14:paraId="56E9709C">
        <w:trPr>
          <w:trHeight w:val="397" w:hRule="atLeast"/>
          <w:jc w:val="center"/>
        </w:trPr>
        <w:tc>
          <w:tcPr>
            <w:tcW w:w="171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ED1E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问题洞察探索过程</w:t>
            </w:r>
          </w:p>
        </w:tc>
        <w:tc>
          <w:tcPr>
            <w:tcW w:w="878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8389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F6A8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选题来源真实性（8分）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73C1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能够说明问题来源，有观察、访谈、调研、课堂实践、校园场景或社会需求依据。</w:t>
            </w:r>
          </w:p>
        </w:tc>
      </w:tr>
      <w:tr w14:paraId="5C4478E4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1EF3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38D1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973D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探索方法与过程记录（9分）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DE4EF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提交调研记录、访谈摘要、观察记录、实验记录、设计草图、低保真原型或基础验证材料。</w:t>
            </w:r>
          </w:p>
        </w:tc>
      </w:tr>
      <w:tr w14:paraId="1093FC17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EBB6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7A8C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2655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问题理解深度（8分）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155614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能够识别目标用户、关键痛点、使用场景和限制条件。</w:t>
            </w:r>
          </w:p>
        </w:tc>
      </w:tr>
      <w:tr w14:paraId="2A1A99BC">
        <w:trPr>
          <w:trHeight w:val="397" w:hRule="atLeast"/>
          <w:jc w:val="center"/>
        </w:trPr>
        <w:tc>
          <w:tcPr>
            <w:tcW w:w="171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AC91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可行性</w:t>
            </w:r>
          </w:p>
          <w:p w14:paraId="224191E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阶段计划</w:t>
            </w: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6DD2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F63B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阶段目标清晰度（7分）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168B4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当前阶段、下一阶段目标和预期成果表述清楚。</w:t>
            </w:r>
          </w:p>
        </w:tc>
      </w:tr>
      <w:tr w14:paraId="3719C47F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87AB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7B76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317B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推进路径合理性（7分）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D0F37D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能够说明从问题探索到方案设计、原型验证或应用试验的推进步骤。</w:t>
            </w:r>
          </w:p>
        </w:tc>
      </w:tr>
      <w:tr w14:paraId="2AEB02EA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41DE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C9BC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1389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资源需求匹配度（6分）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42EF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对数据、工具、场景、导师、设备、时间等需求有基本判断。</w:t>
            </w:r>
          </w:p>
        </w:tc>
      </w:tr>
      <w:tr w14:paraId="325B79C0">
        <w:trPr>
          <w:trHeight w:val="397" w:hRule="atLeast"/>
          <w:jc w:val="center"/>
        </w:trPr>
        <w:tc>
          <w:tcPr>
            <w:tcW w:w="171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B999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团队成长</w:t>
            </w:r>
          </w:p>
          <w:p w14:paraId="47A0BDE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224A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4FD6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团队真实参与（5分）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5B01AA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成员分工真实，能够说明各自参与内容。</w:t>
            </w:r>
          </w:p>
        </w:tc>
      </w:tr>
      <w:tr w14:paraId="1CCEC8E6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A8DE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3620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4E23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学习与能力提升（5分）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81872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体现团队在调研、设计、开发、表达或协作方面的成长过程。</w:t>
            </w:r>
          </w:p>
        </w:tc>
      </w:tr>
      <w:tr w14:paraId="760CC10A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DE03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F94D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CF2E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项目负责人主导性（5分）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FBE86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负责人清楚掌握项目背景、进展、问题和后续计划。</w:t>
            </w:r>
          </w:p>
        </w:tc>
      </w:tr>
      <w:tr w14:paraId="5B30C39C">
        <w:trPr>
          <w:trHeight w:val="397" w:hRule="atLeast"/>
          <w:jc w:val="center"/>
        </w:trPr>
        <w:tc>
          <w:tcPr>
            <w:tcW w:w="171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69CD5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表达清晰度</w:t>
            </w: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B8F7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4C8EC5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材料完整规范（4分）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DE5AC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项目报告、团队信息、承诺书及过程证明材料提交完整。</w:t>
            </w:r>
          </w:p>
        </w:tc>
      </w:tr>
      <w:tr w14:paraId="1826929F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D267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A7C0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5D54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表达逻辑清晰（4分）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363C1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能够准确说明当前阶段、核心想法、探索依据和下一步计划。</w:t>
            </w:r>
          </w:p>
        </w:tc>
      </w:tr>
      <w:tr w14:paraId="442268E8">
        <w:trPr>
          <w:trHeight w:val="397" w:hRule="atLeast"/>
          <w:jc w:val="center"/>
        </w:trPr>
        <w:tc>
          <w:tcPr>
            <w:tcW w:w="171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3976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78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3583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1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C89C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问答回应有效（2分）</w:t>
            </w:r>
          </w:p>
        </w:tc>
        <w:tc>
          <w:tcPr>
            <w:tcW w:w="874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7F6A6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能够回应真实性、可行性和成长路径问题。</w:t>
            </w:r>
          </w:p>
        </w:tc>
      </w:tr>
      <w:tr w14:paraId="0A6127A7">
        <w:trPr>
          <w:trHeight w:val="397" w:hRule="atLeast"/>
          <w:jc w:val="center"/>
        </w:trPr>
        <w:tc>
          <w:tcPr>
            <w:tcW w:w="15057" w:type="dxa"/>
            <w:gridSpan w:val="4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1F648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b/>
                <w:bCs w:val="0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t>萌芽赛道面向仍处于早期探索阶段、尚未完全成型但具备创新潜力和成长空间的项目。评分不单纯以当前完成度作为判断标准，重点关注问题来源、探索过程、初步验证、成长潜力和团队真实参与。</w:t>
            </w:r>
          </w:p>
        </w:tc>
      </w:tr>
    </w:tbl>
    <w:p w14:paraId="4C3AEE96">
      <w:pPr>
        <w:ind w:firstLine="480"/>
      </w:pPr>
      <w:r>
        <w:br w:type="page"/>
      </w:r>
    </w:p>
    <w:p w14:paraId="0BDFBDD2">
      <w:pPr>
        <w:pStyle w:val="22"/>
        <w:rPr>
          <w:rFonts w:hint="default"/>
        </w:rPr>
      </w:pPr>
      <w:r>
        <w:t>五、创意赛道评分细则</w:t>
      </w:r>
    </w:p>
    <w:tbl>
      <w:tblPr>
        <w:tblStyle w:val="8"/>
        <w:tblW w:w="150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884"/>
        <w:gridCol w:w="3702"/>
        <w:gridCol w:w="8715"/>
      </w:tblGrid>
      <w:tr w14:paraId="14310C53">
        <w:trPr>
          <w:tblHeader/>
          <w:jc w:val="center"/>
        </w:trPr>
        <w:tc>
          <w:tcPr>
            <w:tcW w:w="177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1E62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评价维度</w:t>
            </w:r>
          </w:p>
        </w:tc>
        <w:tc>
          <w:tcPr>
            <w:tcW w:w="884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716E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分值</w:t>
            </w: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5456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二级评分观察点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4327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评分说明</w:t>
            </w:r>
          </w:p>
        </w:tc>
      </w:tr>
      <w:tr w14:paraId="24ACC727">
        <w:trPr>
          <w:jc w:val="center"/>
        </w:trPr>
        <w:tc>
          <w:tcPr>
            <w:tcW w:w="177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28C5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问题识别</w:t>
            </w:r>
          </w:p>
          <w:p w14:paraId="34BFBF2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场景价值</w:t>
            </w:r>
          </w:p>
        </w:tc>
        <w:tc>
          <w:tcPr>
            <w:tcW w:w="88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5F0B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FC43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问题界定准确性（8分）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74CDD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清楚说明解决什么问题、问题为何真实存在、痛点在哪里。</w:t>
            </w:r>
          </w:p>
        </w:tc>
      </w:tr>
      <w:tr w14:paraId="73B091EA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0E93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E0298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67A4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目标用户与应用场景（7分）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F071C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目标用户明确，使用场景具体，需求链路和应用边界清楚。</w:t>
            </w:r>
          </w:p>
        </w:tc>
      </w:tr>
      <w:tr w14:paraId="593C914A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AA88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134D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3F89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现实价值与公共价值（6分）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56BFC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对学习生活、校园服务、产业协同、社会治理、公共服务等场景具有实际价值。</w:t>
            </w:r>
          </w:p>
        </w:tc>
      </w:tr>
      <w:tr w14:paraId="7B739B6C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EAF8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1B51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D6A1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需求证据支撑（4分）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C688D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有调研、访谈、数据、案例、用户反馈或场景观察支撑。</w:t>
            </w:r>
          </w:p>
        </w:tc>
      </w:tr>
      <w:tr w14:paraId="10ADDA79">
        <w:trPr>
          <w:jc w:val="center"/>
        </w:trPr>
        <w:tc>
          <w:tcPr>
            <w:tcW w:w="177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E72E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应用开发</w:t>
            </w:r>
          </w:p>
          <w:p w14:paraId="342AB45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技术实现</w:t>
            </w:r>
          </w:p>
        </w:tc>
        <w:tc>
          <w:tcPr>
            <w:tcW w:w="88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55AF85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3B5E7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技术路线合理性（8分）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35983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技术选型与项目目标匹配，能说明关键技术、工具、模型、数据或软硬件协同逻辑。</w:t>
            </w:r>
          </w:p>
        </w:tc>
      </w:tr>
      <w:tr w14:paraId="5FE82231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30C4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BD69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0438F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智能应用特色（7分）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B55D2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体现人工智能、智能体、智能终端、自动化流程、数据分析或智能交互等特征。</w:t>
            </w:r>
          </w:p>
        </w:tc>
      </w:tr>
      <w:tr w14:paraId="64068129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4A7E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9938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C356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开发过程与模块设计（7分）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A324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能说明主要功能模块、系统流程、开发分工和关键实现路径。</w:t>
            </w:r>
          </w:p>
        </w:tc>
      </w:tr>
      <w:tr w14:paraId="37C9FFAC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5FFC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22EC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8D4E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创新性与可延展性（5分）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C17CE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在功能组合、应用方式、场景适配或交互体验上具有创新和延展空间。</w:t>
            </w:r>
          </w:p>
        </w:tc>
      </w:tr>
      <w:tr w14:paraId="33D17025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2280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747E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E1FD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安全合规与边界意识（3分）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85A6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对数据来源、知识产权、模型使用、隐私保护或内容安全有基本说明。</w:t>
            </w:r>
          </w:p>
        </w:tc>
      </w:tr>
      <w:tr w14:paraId="065CBF28">
        <w:trPr>
          <w:jc w:val="center"/>
        </w:trPr>
        <w:tc>
          <w:tcPr>
            <w:tcW w:w="177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C81AE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方案完整性与可行性</w:t>
            </w:r>
          </w:p>
        </w:tc>
        <w:tc>
          <w:tcPr>
            <w:tcW w:w="88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CD32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C703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方案逻辑完整（7分）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96537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背景、用户、功能、流程、成果和计划之间逻辑连贯。</w:t>
            </w:r>
          </w:p>
        </w:tc>
      </w:tr>
      <w:tr w14:paraId="39F0607D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E22A5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3E7D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2CD8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实施路径清晰（6分）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4398C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能说明从构想到原型、测试、迭代、应用验证的步骤。</w:t>
            </w:r>
          </w:p>
        </w:tc>
      </w:tr>
      <w:tr w14:paraId="19A5536E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270D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F688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7AECD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资源与时间可行（4分）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E0653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团队能力、数据资源、开发工具、场景条件和时间安排基本匹配。</w:t>
            </w:r>
          </w:p>
        </w:tc>
      </w:tr>
      <w:tr w14:paraId="17A572B4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E5C0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E6EA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0820B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风险识别与改进计划（3分）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ACADD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能识别技术、数据、场景、合规或落地风险并提出改进方向。</w:t>
            </w:r>
          </w:p>
        </w:tc>
      </w:tr>
      <w:tr w14:paraId="54659E04">
        <w:trPr>
          <w:jc w:val="center"/>
        </w:trPr>
        <w:tc>
          <w:tcPr>
            <w:tcW w:w="177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E24E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团队能力与表达呈现</w:t>
            </w:r>
          </w:p>
        </w:tc>
        <w:tc>
          <w:tcPr>
            <w:tcW w:w="88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499C2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7C0B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分工与贡献真实（5分）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9B3DA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成员职责明确，贡献说明可信，关键模块与具体成员能够对应。</w:t>
            </w:r>
          </w:p>
        </w:tc>
      </w:tr>
      <w:tr w14:paraId="6931EEE1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BE7E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C6AB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6307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材料表达质量（4分）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D299A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项目报告、PPT、过程证明材料结构清楚，重点突出。</w:t>
            </w:r>
          </w:p>
        </w:tc>
      </w:tr>
      <w:tr w14:paraId="3FF6459C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62A5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34E6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4B15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路演与问答表现（4分）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45FA6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展示节奏合理，能回答技术路线、应用价值、团队贡献和后续计划。</w:t>
            </w:r>
          </w:p>
        </w:tc>
      </w:tr>
      <w:tr w14:paraId="528344AF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9577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E9D9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FBC3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协作与组织能力（2分）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152D9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团队协作稳定，项目推进有组织、有记录、有反馈。</w:t>
            </w:r>
          </w:p>
        </w:tc>
      </w:tr>
      <w:tr w14:paraId="634EC7B4">
        <w:trPr>
          <w:jc w:val="center"/>
        </w:trPr>
        <w:tc>
          <w:tcPr>
            <w:tcW w:w="177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EE25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成长潜力与迭代基础</w:t>
            </w:r>
          </w:p>
        </w:tc>
        <w:tc>
          <w:tcPr>
            <w:tcW w:w="884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CF0C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CDFD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验证与迭代基础（4分）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46977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已有初步验证、用户反馈、测试计划或迭代记录。</w:t>
            </w:r>
          </w:p>
        </w:tc>
      </w:tr>
      <w:tr w14:paraId="3D666D92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03D8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6190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BBE7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培育与持续应用空间（4分）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7DF82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具备继续开发、应用试点、场景推广或项目培育可能。</w:t>
            </w:r>
          </w:p>
        </w:tc>
      </w:tr>
      <w:tr w14:paraId="34FAFAE4">
        <w:trPr>
          <w:jc w:val="center"/>
        </w:trPr>
        <w:tc>
          <w:tcPr>
            <w:tcW w:w="177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650B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84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3F5D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B262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成果边界清晰（2分）</w:t>
            </w:r>
          </w:p>
        </w:tc>
        <w:tc>
          <w:tcPr>
            <w:tcW w:w="871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27E7A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能够区分已完成、正在推进和计划完成内容。</w:t>
            </w:r>
          </w:p>
        </w:tc>
      </w:tr>
      <w:tr w14:paraId="6098629A">
        <w:trPr>
          <w:jc w:val="center"/>
        </w:trPr>
        <w:tc>
          <w:tcPr>
            <w:tcW w:w="15075" w:type="dxa"/>
            <w:gridSpan w:val="4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7DE5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t>创意赛道面向已经形成较明确问题意识、应用方向和产品构想的项目。评分重点关注问题识别、场景价值、智能应用开发特色、方案完整性、团队能力和后续迭代基础。</w:t>
            </w:r>
          </w:p>
        </w:tc>
      </w:tr>
    </w:tbl>
    <w:p w14:paraId="510B88FC">
      <w:pPr>
        <w:ind w:firstLine="5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292F99F">
      <w:pPr>
        <w:pStyle w:val="22"/>
        <w:rPr>
          <w:rFonts w:hint="default"/>
        </w:rPr>
      </w:pPr>
      <w:r>
        <w:t>六、OPC轻创赛道评分细则</w:t>
      </w:r>
    </w:p>
    <w:tbl>
      <w:tblPr>
        <w:tblStyle w:val="8"/>
        <w:tblW w:w="150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855"/>
        <w:gridCol w:w="3690"/>
        <w:gridCol w:w="8750"/>
      </w:tblGrid>
      <w:tr w14:paraId="5D027D37">
        <w:trPr>
          <w:tblHeader/>
          <w:jc w:val="center"/>
        </w:trPr>
        <w:tc>
          <w:tcPr>
            <w:tcW w:w="1777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F2CF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评价维度</w:t>
            </w:r>
          </w:p>
        </w:tc>
        <w:tc>
          <w:tcPr>
            <w:tcW w:w="855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BEDC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分值</w:t>
            </w: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D7EB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二级评分观察点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274A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评分说明</w:t>
            </w:r>
          </w:p>
        </w:tc>
      </w:tr>
      <w:tr w14:paraId="5FCE51C5">
        <w:trPr>
          <w:jc w:val="center"/>
        </w:trPr>
        <w:tc>
          <w:tcPr>
            <w:tcW w:w="1777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8A908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核心推动</w:t>
            </w:r>
          </w:p>
          <w:p w14:paraId="35D86EC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执行路径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F98C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59A4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核心推动者清晰（6分）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CA3A2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负责人或核心团队能够说明主线任务、关键决策、推进节奏和真实贡献。</w:t>
            </w:r>
          </w:p>
        </w:tc>
      </w:tr>
      <w:tr w14:paraId="4B887A42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3DD3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9667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D7A0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组织方式轻量有效（4分）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FA70D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团队规模、协作方式、资源调配与项目阶段相匹配。</w:t>
            </w:r>
          </w:p>
        </w:tc>
      </w:tr>
      <w:tr w14:paraId="04C1CDF4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71C5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6A0F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B58B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执行记录可信（5分）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7248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有开发日志、版本记录、任务分工、提交记录、原型迭代等可核验材料。</w:t>
            </w:r>
          </w:p>
        </w:tc>
      </w:tr>
      <w:tr w14:paraId="51D2891F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6BAD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3BBD7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FC6B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问题处理能力（5分）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6F71B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能说明推进中遇到的问题，以及实际解决或调整过程。</w:t>
            </w:r>
          </w:p>
        </w:tc>
      </w:tr>
      <w:tr w14:paraId="65FFB3FE">
        <w:trPr>
          <w:jc w:val="center"/>
        </w:trPr>
        <w:tc>
          <w:tcPr>
            <w:tcW w:w="1777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3519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阶段成果</w:t>
            </w:r>
          </w:p>
          <w:p w14:paraId="6FBD9A5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演示能力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7EEC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1029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成果形态明确（8分）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E409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已形成原型、样机、系统、功能流程、作品案例、验证结果或可访问演示。</w:t>
            </w:r>
          </w:p>
        </w:tc>
      </w:tr>
      <w:tr w14:paraId="63A4F5A0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915C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457F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F8A2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核心功能可展示（8分）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4CC78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现场或视频能直观展示关键功能、流程、交互逻辑或验证结果。</w:t>
            </w:r>
          </w:p>
        </w:tc>
      </w:tr>
      <w:tr w14:paraId="5D2D9F87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FF9C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D39E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3362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开发完成度（6分）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02FFC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关键模块、界面、流程、数据、模型或硬件连接具备阶段成果。</w:t>
            </w:r>
          </w:p>
        </w:tc>
      </w:tr>
      <w:tr w14:paraId="129A26DC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DD4B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7103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587E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成果真实性与稳定性（5分）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BDA7F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演示内容与提交材料一致，成果运行、截图、视频、测试记录能够相互印证。</w:t>
            </w:r>
          </w:p>
        </w:tc>
      </w:tr>
      <w:tr w14:paraId="0F41E7E1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18EE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40A9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7E29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表达与答辩支撑（3分）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C34C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能围绕成果展示说明开发过程、实现逻辑和阶段边界。</w:t>
            </w:r>
          </w:p>
        </w:tc>
      </w:tr>
      <w:tr w14:paraId="4C2E8945">
        <w:trPr>
          <w:jc w:val="center"/>
        </w:trPr>
        <w:tc>
          <w:tcPr>
            <w:tcW w:w="1777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694E0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低成本验证与实践效率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3FBB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DC30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轻量化验证设计（6分）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09C73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能用较小资源完成原型验证、场景试用、用户反馈或功能测试。</w:t>
            </w:r>
          </w:p>
        </w:tc>
      </w:tr>
      <w:tr w14:paraId="45D4B2A2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4FD5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72A2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8DB35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快速迭代能力（5分）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E4D34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有版本迭代、问题修正、功能调整或用户反馈响应记录。</w:t>
            </w:r>
          </w:p>
        </w:tc>
      </w:tr>
      <w:tr w14:paraId="4BD5E8C3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5DCA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F9AF0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7A49C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资源使用效率（4分）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2A9BA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工具、数据、场地、设备、人员投入与阶段成果相比具有较好效率。</w:t>
            </w:r>
          </w:p>
        </w:tc>
      </w:tr>
      <w:tr w14:paraId="27461734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F506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CC89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88A7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实践导向明确（5分）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5053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项目推进围绕真实问题和真实使用场景展开。</w:t>
            </w:r>
          </w:p>
        </w:tc>
      </w:tr>
      <w:tr w14:paraId="294AA597">
        <w:trPr>
          <w:jc w:val="center"/>
        </w:trPr>
        <w:tc>
          <w:tcPr>
            <w:tcW w:w="1777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4E1E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场景落地与产品化基础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B7C7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2AC6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应用场景明确（5分）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C0C8F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目标用户、使用场景、交付对象或试点环境清楚。</w:t>
            </w:r>
          </w:p>
        </w:tc>
      </w:tr>
      <w:tr w14:paraId="4EA034C4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F4AF4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B35D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DC36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用户反馈或测试证据（5分）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7E7D78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有用户访谈、试用反馈、测试结果、访问记录、样机照片或应用证明。</w:t>
            </w:r>
          </w:p>
        </w:tc>
      </w:tr>
      <w:tr w14:paraId="78798ED5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52AA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3292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DC19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交付路径与边界（4分）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969B8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能说明交付、试点、上线、应用验证或产品化路径并明确阶段边界。</w:t>
            </w:r>
          </w:p>
        </w:tc>
      </w:tr>
      <w:tr w14:paraId="61AE2963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97D2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36A6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6E44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合规与权属基础（3分）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1AFB2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公司主体、合作资源、第三方技术、数据、专利、软著等关系说明清楚。</w:t>
            </w:r>
          </w:p>
        </w:tc>
      </w:tr>
      <w:tr w14:paraId="1FEAFF5C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6A01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980F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5EE2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可维护性与可复用性（3分）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F422F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成果具备继续维护、复用、移植或扩展基础。</w:t>
            </w:r>
          </w:p>
        </w:tc>
      </w:tr>
      <w:tr w14:paraId="47835620">
        <w:trPr>
          <w:jc w:val="center"/>
        </w:trPr>
        <w:tc>
          <w:tcPr>
            <w:tcW w:w="1777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330A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持续发展可能性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7F6F4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C0DF8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产品化或系统化潜力（4分）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0B884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具备向产品化、系统化、社会化应用或持续应用方向演进的基础。</w:t>
            </w:r>
          </w:p>
        </w:tc>
      </w:tr>
      <w:tr w14:paraId="545A6279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8BEFFB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2284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1140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团队持续推进能力（3分）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AF6C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核心推动关系稳定，后续资源、计划和责任安排较清楚。</w:t>
            </w:r>
          </w:p>
        </w:tc>
      </w:tr>
      <w:tr w14:paraId="083A7154">
        <w:trPr>
          <w:jc w:val="center"/>
        </w:trPr>
        <w:tc>
          <w:tcPr>
            <w:tcW w:w="1777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0938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55" w:type="dxa"/>
            <w:vMerge w:val="continue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948A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69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55D53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展示传播与培育价值（3分）</w:t>
            </w:r>
          </w:p>
        </w:tc>
        <w:tc>
          <w:tcPr>
            <w:tcW w:w="875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A228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具备展示传播、项目培育、场景对接或后续合作价值。</w:t>
            </w:r>
          </w:p>
        </w:tc>
      </w:tr>
      <w:tr w14:paraId="1F31B851">
        <w:trPr>
          <w:jc w:val="center"/>
        </w:trPr>
        <w:tc>
          <w:tcPr>
            <w:tcW w:w="15072" w:type="dxa"/>
            <w:gridSpan w:val="4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A5B6A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t>OPC轻创赛道中的“轻创”定位为轻量化创作、轻量化创新实践和轻量化开发验证。评分不以公司形态、单人参赛或运营成熟度作为前提，重点关注核心推动、阶段成果、演示能力、低成本验证、场景落地和持续演进基础。</w:t>
            </w:r>
          </w:p>
        </w:tc>
      </w:tr>
    </w:tbl>
    <w:p w14:paraId="5178C7DA">
      <w:pPr>
        <w:pStyle w:val="21"/>
        <w:spacing w:line="300" w:lineRule="exact"/>
        <w:ind w:firstLine="0" w:firstLineChars="0"/>
        <w:jc w:val="center"/>
        <w:rPr>
          <w:rFonts w:hint="default"/>
          <w:sz w:val="28"/>
          <w:szCs w:val="28"/>
        </w:rPr>
      </w:pPr>
    </w:p>
    <w:p w14:paraId="2197DA87">
      <w:pPr>
        <w:pStyle w:val="21"/>
        <w:spacing w:line="300" w:lineRule="exact"/>
        <w:ind w:firstLine="0" w:firstLineChars="0"/>
        <w:jc w:val="both"/>
        <w:rPr>
          <w:rFonts w:hint="default"/>
          <w:sz w:val="28"/>
          <w:szCs w:val="28"/>
        </w:rPr>
        <w:sectPr>
          <w:footerReference r:id="rId11" w:type="default"/>
          <w:pgSz w:w="16838" w:h="11906" w:orient="landscape"/>
          <w:pgMar w:top="1134" w:right="1134" w:bottom="1134" w:left="1134" w:header="851" w:footer="283" w:gutter="0"/>
          <w:pgNumType w:fmt="decimal"/>
          <w:cols w:space="0" w:num="1"/>
          <w:docGrid w:type="lines" w:linePitch="326" w:charSpace="0"/>
        </w:sectPr>
      </w:pPr>
    </w:p>
    <w:p w14:paraId="59A728D6">
      <w:pPr>
        <w:pStyle w:val="22"/>
        <w:rPr>
          <w:rFonts w:hint="default"/>
        </w:rPr>
      </w:pPr>
      <w:r>
        <w:t>七、组别评价提示</w:t>
      </w:r>
    </w:p>
    <w:tbl>
      <w:tblPr>
        <w:tblStyle w:val="8"/>
        <w:tblW w:w="9360" w:type="dxa"/>
        <w:jc w:val="center"/>
        <w:tblBorders>
          <w:top w:val="single" w:color="AAB4C3" w:sz="4" w:space="0"/>
          <w:left w:val="single" w:color="AAB4C3" w:sz="4" w:space="0"/>
          <w:bottom w:val="single" w:color="AAB4C3" w:sz="4" w:space="0"/>
          <w:right w:val="single" w:color="AAB4C3" w:sz="4" w:space="0"/>
          <w:insideH w:val="single" w:color="AAB4C3" w:sz="4" w:space="0"/>
          <w:insideV w:val="single" w:color="AAB4C3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560"/>
      </w:tblGrid>
      <w:tr w14:paraId="1F8E8CB5">
        <w:trPr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671A1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职教组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2302A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在对应赛道评分表基础上，适度关注技能应用、场景适配、实践可操作性和成果展示的直观性。</w:t>
            </w:r>
          </w:p>
        </w:tc>
      </w:tr>
      <w:tr w14:paraId="76A99660">
        <w:trPr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8C03D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高校组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3BEBF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在对应赛道评分表基础上，保持创意构想、产品设计、技术实现、场景应用、验证质量、表达呈现与成长潜力的均衡评价。高校组统一评审，不拆分本科生组和研究生组。</w:t>
            </w:r>
          </w:p>
        </w:tc>
      </w:tr>
      <w:tr w14:paraId="22CFB643">
        <w:trPr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ADDC7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青年创新组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B13B4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在对应赛道评分表基础上，适度关注需求真实性、组织能力、成果落地性、推广路径和持续推进能力。涉及公司主体或合作资源的材料，仅用于资格审核、权属确认、授权核验和风险防控，不当然作为加分依据。</w:t>
            </w:r>
          </w:p>
        </w:tc>
      </w:tr>
    </w:tbl>
    <w:p w14:paraId="158FE1F6">
      <w:pPr>
        <w:pStyle w:val="22"/>
        <w:rPr>
          <w:rFonts w:hint="default"/>
        </w:rPr>
      </w:pPr>
      <w:r>
        <w:t>八、扣分与处理规则</w:t>
      </w:r>
    </w:p>
    <w:tbl>
      <w:tblPr>
        <w:tblStyle w:val="8"/>
        <w:tblW w:w="93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440"/>
      </w:tblGrid>
      <w:tr w14:paraId="2D6C7F4F">
        <w:trPr>
          <w:jc w:val="center"/>
        </w:trPr>
        <w:tc>
          <w:tcPr>
            <w:tcW w:w="192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DC67F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材料缺漏</w:t>
            </w:r>
          </w:p>
        </w:tc>
        <w:tc>
          <w:tcPr>
            <w:tcW w:w="744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E5C01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必交材料缺失、格式混乱或关键内容无法识别的，专家可在对应维度扣1至10分；影响资格判断的，提交赛事执行秘书处复核。</w:t>
            </w:r>
          </w:p>
        </w:tc>
      </w:tr>
      <w:tr w14:paraId="55B3DC52">
        <w:trPr>
          <w:jc w:val="center"/>
        </w:trPr>
        <w:tc>
          <w:tcPr>
            <w:tcW w:w="192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CD796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证据不足</w:t>
            </w:r>
          </w:p>
        </w:tc>
        <w:tc>
          <w:tcPr>
            <w:tcW w:w="744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75FD3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项目声称已完成开发、测试、应用、授权或合作，但无法提交相应过程证明、演示材料或佐证文件的，不得在相关维度给高分。</w:t>
            </w:r>
          </w:p>
        </w:tc>
      </w:tr>
      <w:tr w14:paraId="740340C8">
        <w:trPr>
          <w:jc w:val="center"/>
        </w:trPr>
        <w:tc>
          <w:tcPr>
            <w:tcW w:w="192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8183E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赛道不匹配</w:t>
            </w:r>
          </w:p>
        </w:tc>
        <w:tc>
          <w:tcPr>
            <w:tcW w:w="744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66F649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项目明显不符合申报赛道定位的，资格审核阶段优先引导调整；进入评审后仍不匹配的，专家应在相关维度从严评分。</w:t>
            </w:r>
          </w:p>
        </w:tc>
      </w:tr>
      <w:tr w14:paraId="58C7077F">
        <w:trPr>
          <w:jc w:val="center"/>
        </w:trPr>
        <w:tc>
          <w:tcPr>
            <w:tcW w:w="192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938EF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技术路线中立</w:t>
            </w:r>
          </w:p>
        </w:tc>
        <w:tc>
          <w:tcPr>
            <w:tcW w:w="744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A0178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不得因参赛团队选择特定或非特定编程语言、框架、平台、芯片或工具链而作倾向性评价。</w:t>
            </w:r>
          </w:p>
        </w:tc>
      </w:tr>
      <w:tr w14:paraId="15256B96">
        <w:trPr>
          <w:jc w:val="center"/>
        </w:trPr>
        <w:tc>
          <w:tcPr>
            <w:tcW w:w="192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78819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人工智能工具使用</w:t>
            </w:r>
          </w:p>
        </w:tc>
        <w:tc>
          <w:tcPr>
            <w:tcW w:w="744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D15AE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允许合理使用人工智能工具辅助开发和表达；如无法说明工具使用范围、团队真实贡献或关键成果来源，应在相关维度扣分。</w:t>
            </w:r>
          </w:p>
        </w:tc>
      </w:tr>
      <w:tr w14:paraId="5A7A0C95">
        <w:trPr>
          <w:jc w:val="center"/>
        </w:trPr>
        <w:tc>
          <w:tcPr>
            <w:tcW w:w="192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D15E2">
            <w:pPr>
              <w:pStyle w:val="21"/>
              <w:spacing w:line="300" w:lineRule="exact"/>
              <w:ind w:firstLine="0" w:firstLineChars="0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真实性问题</w:t>
            </w:r>
          </w:p>
        </w:tc>
        <w:tc>
          <w:tcPr>
            <w:tcW w:w="7440" w:type="dxa"/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D6860">
            <w:pPr>
              <w:pStyle w:val="21"/>
              <w:spacing w:line="300" w:lineRule="exact"/>
              <w:ind w:firstLine="0" w:firstLineChars="0"/>
              <w:rPr>
                <w:rFonts w:hint="default"/>
                <w:sz w:val="28"/>
                <w:szCs w:val="28"/>
              </w:rPr>
            </w:pPr>
            <w:r>
              <w:rPr>
                <w:sz w:val="28"/>
                <w:szCs w:val="28"/>
              </w:rPr>
              <w:t>发现冒名参赛、挂名参赛、伪造材料、虚构用户数据、侵权使用成果、重复申报或严重夸大项目成果的，取消参赛资格、获奖资格及相关荣誉。</w:t>
            </w:r>
          </w:p>
        </w:tc>
      </w:tr>
    </w:tbl>
    <w:p w14:paraId="17418493">
      <w:pPr>
        <w:pStyle w:val="22"/>
        <w:rPr>
          <w:rFonts w:hint="default"/>
        </w:rPr>
      </w:pPr>
      <w:r>
        <w:t>九、评分记录与结果确认</w:t>
      </w:r>
    </w:p>
    <w:p w14:paraId="4787CA14">
      <w:pPr>
        <w:pStyle w:val="21"/>
        <w:ind w:firstLine="640"/>
        <w:rPr>
          <w:rFonts w:hint="default"/>
        </w:rPr>
      </w:pPr>
      <w:r>
        <w:t>评审专家须按照申报组别和申报赛道使用对应评分表，独立完成评分，并对明显高分、明显低分或重大争议项目作必要说明。专家评分表应记录项目名称、参赛组别、申报赛道、评分维度、总分、专家意见和是否建议复核等信息。</w:t>
      </w:r>
    </w:p>
    <w:p w14:paraId="3F603077">
      <w:pPr>
        <w:pStyle w:val="21"/>
        <w:ind w:firstLine="640"/>
        <w:rPr>
          <w:rFonts w:hint="default"/>
        </w:rPr>
      </w:pPr>
      <w:r>
        <w:t>同一组别、同一赛道内项目按照最终成绩排序。出现同分情况时，优先比较赛道核心维度得分；仍无法区分的，由专家评审委员会组织复议，并提交大赛组委会确认。</w:t>
      </w:r>
    </w:p>
    <w:p w14:paraId="68301ED8">
      <w:pPr>
        <w:pStyle w:val="21"/>
        <w:ind w:firstLine="640"/>
        <w:rPr>
          <w:rFonts w:hint="default"/>
        </w:rPr>
      </w:pPr>
      <w:r>
        <w:t>后续如因报名规模、项目类型或组织安排需要细化指标，大赛组委会将在不改变基本评价导向的前提下统一发布补充说明。</w:t>
      </w:r>
    </w:p>
    <w:p w14:paraId="191C279A">
      <w:pPr>
        <w:pStyle w:val="21"/>
        <w:ind w:firstLine="640"/>
        <w:rPr>
          <w:rFonts w:hint="default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EC827BE-401C-BFEB-0C70-186A0C8E3734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6621115-F889-A0AD-0C70-186AB82AE8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A7C2054-5313-CC32-0C70-186A3133F36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54FFE0D-B3A5-8082-0C70-186A2AA8A075}"/>
  </w:font>
  <w:font w:name="GWZT-EN">
    <w:altName w:val="苹方-简"/>
    <w:panose1 w:val="00000000000000000000"/>
    <w:charset w:val="00"/>
    <w:family w:val="auto"/>
    <w:pitch w:val="default"/>
    <w:sig w:usb0="00000000" w:usb1="00000000" w:usb2="00082016" w:usb3="00000000" w:csb0="00000003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491B0">
    <w:pPr>
      <w:pStyle w:val="4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047CD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8047CD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20BE0">
    <w:pPr>
      <w:ind w:left="0" w:leftChars="0" w:firstLine="0" w:firstLineChars="0"/>
      <w:jc w:val="both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72827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472827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>2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927AE">
    <w:pPr>
      <w:pStyle w:val="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99FBE">
    <w:pPr>
      <w:pStyle w:val="4"/>
      <w:ind w:left="0" w:leftChars="0" w:firstLine="0" w:firstLineChars="0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5137B6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5137B6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D25A0"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5D1F1">
    <w:pPr>
      <w:pStyle w:val="5"/>
      <w:pBdr>
        <w:bottom w:val="none" w:color="auto" w:sz="0" w:space="1"/>
      </w:pBdr>
      <w:ind w:firstLine="360"/>
    </w:pPr>
    <w:r>
      <w:rPr>
        <w:rFonts w:hint="eastAsia"/>
      </w:rPr>
      <w:t>`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CA4FB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1Yzg1YTE4MDVmNzMyOWY5ZTA4NzRiNDQ5ZDhiYTAifQ=="/>
  </w:docVars>
  <w:rsids>
    <w:rsidRoot w:val="7FEECC0A"/>
    <w:rsid w:val="00036756"/>
    <w:rsid w:val="001141D0"/>
    <w:rsid w:val="001435DA"/>
    <w:rsid w:val="001D79B3"/>
    <w:rsid w:val="001E21BC"/>
    <w:rsid w:val="00286CE4"/>
    <w:rsid w:val="00305B30"/>
    <w:rsid w:val="00330861"/>
    <w:rsid w:val="00351A9F"/>
    <w:rsid w:val="00374956"/>
    <w:rsid w:val="00391F21"/>
    <w:rsid w:val="004277D2"/>
    <w:rsid w:val="00466E92"/>
    <w:rsid w:val="004C2987"/>
    <w:rsid w:val="004C391E"/>
    <w:rsid w:val="004D4CC2"/>
    <w:rsid w:val="004F1533"/>
    <w:rsid w:val="00583DA3"/>
    <w:rsid w:val="0061793C"/>
    <w:rsid w:val="0066597D"/>
    <w:rsid w:val="006F118A"/>
    <w:rsid w:val="006F759B"/>
    <w:rsid w:val="00800758"/>
    <w:rsid w:val="00853B1F"/>
    <w:rsid w:val="008A4281"/>
    <w:rsid w:val="008C601D"/>
    <w:rsid w:val="008F1991"/>
    <w:rsid w:val="00901A02"/>
    <w:rsid w:val="00914399"/>
    <w:rsid w:val="0099152C"/>
    <w:rsid w:val="00A91BB9"/>
    <w:rsid w:val="00A91E2D"/>
    <w:rsid w:val="00AB482E"/>
    <w:rsid w:val="00AD341B"/>
    <w:rsid w:val="00BC1872"/>
    <w:rsid w:val="00BD300B"/>
    <w:rsid w:val="00BF6ADB"/>
    <w:rsid w:val="00C36B5B"/>
    <w:rsid w:val="00C46D94"/>
    <w:rsid w:val="00CE61CB"/>
    <w:rsid w:val="00D44951"/>
    <w:rsid w:val="00DC1833"/>
    <w:rsid w:val="00E0561F"/>
    <w:rsid w:val="00ED142C"/>
    <w:rsid w:val="00ED23F5"/>
    <w:rsid w:val="01043138"/>
    <w:rsid w:val="01911608"/>
    <w:rsid w:val="01EA77B9"/>
    <w:rsid w:val="027C3466"/>
    <w:rsid w:val="02B868DD"/>
    <w:rsid w:val="034C108A"/>
    <w:rsid w:val="034F2928"/>
    <w:rsid w:val="03A01E83"/>
    <w:rsid w:val="03B11A9D"/>
    <w:rsid w:val="04B0246E"/>
    <w:rsid w:val="04EE5B2E"/>
    <w:rsid w:val="05C71188"/>
    <w:rsid w:val="065A6178"/>
    <w:rsid w:val="07020F0F"/>
    <w:rsid w:val="07541C13"/>
    <w:rsid w:val="08186A60"/>
    <w:rsid w:val="081E11A6"/>
    <w:rsid w:val="086168CD"/>
    <w:rsid w:val="0998280A"/>
    <w:rsid w:val="09E02FB2"/>
    <w:rsid w:val="09FB666F"/>
    <w:rsid w:val="0B386705"/>
    <w:rsid w:val="0BD9237C"/>
    <w:rsid w:val="0C1C1715"/>
    <w:rsid w:val="0CA17741"/>
    <w:rsid w:val="0CFE4E15"/>
    <w:rsid w:val="0D9F26FE"/>
    <w:rsid w:val="0E325BEF"/>
    <w:rsid w:val="0EA26202"/>
    <w:rsid w:val="0FF54858"/>
    <w:rsid w:val="10F60887"/>
    <w:rsid w:val="11250D8F"/>
    <w:rsid w:val="126327FE"/>
    <w:rsid w:val="127872E5"/>
    <w:rsid w:val="13D33304"/>
    <w:rsid w:val="14076881"/>
    <w:rsid w:val="14495172"/>
    <w:rsid w:val="144C2124"/>
    <w:rsid w:val="155976E3"/>
    <w:rsid w:val="15A78177"/>
    <w:rsid w:val="16E24019"/>
    <w:rsid w:val="16FF7D6A"/>
    <w:rsid w:val="178F2724"/>
    <w:rsid w:val="18E96577"/>
    <w:rsid w:val="1A0D2313"/>
    <w:rsid w:val="1A6361D9"/>
    <w:rsid w:val="1ADF238C"/>
    <w:rsid w:val="1B3020AA"/>
    <w:rsid w:val="1B486B8B"/>
    <w:rsid w:val="1B4F5986"/>
    <w:rsid w:val="1BA21810"/>
    <w:rsid w:val="1D574AF9"/>
    <w:rsid w:val="1E2A709D"/>
    <w:rsid w:val="1E3267FD"/>
    <w:rsid w:val="1FC15723"/>
    <w:rsid w:val="1FFFC00E"/>
    <w:rsid w:val="20550044"/>
    <w:rsid w:val="22F52D24"/>
    <w:rsid w:val="236C162A"/>
    <w:rsid w:val="23DD43E4"/>
    <w:rsid w:val="24267107"/>
    <w:rsid w:val="24E707BB"/>
    <w:rsid w:val="25DC6129"/>
    <w:rsid w:val="268B67DB"/>
    <w:rsid w:val="2694280D"/>
    <w:rsid w:val="27FB36D3"/>
    <w:rsid w:val="290A28D1"/>
    <w:rsid w:val="293E30BA"/>
    <w:rsid w:val="298B477B"/>
    <w:rsid w:val="29AE0DEF"/>
    <w:rsid w:val="2A0321A1"/>
    <w:rsid w:val="2A56307F"/>
    <w:rsid w:val="2AA55A6A"/>
    <w:rsid w:val="2AC84BEB"/>
    <w:rsid w:val="2ADD299A"/>
    <w:rsid w:val="2C0E7654"/>
    <w:rsid w:val="2D090B71"/>
    <w:rsid w:val="2D140142"/>
    <w:rsid w:val="2E020D89"/>
    <w:rsid w:val="2E237A49"/>
    <w:rsid w:val="2E814EDA"/>
    <w:rsid w:val="2F0B3959"/>
    <w:rsid w:val="2FC25B50"/>
    <w:rsid w:val="2FFE074E"/>
    <w:rsid w:val="30F12E11"/>
    <w:rsid w:val="31556AE8"/>
    <w:rsid w:val="320152F5"/>
    <w:rsid w:val="32FB1A0A"/>
    <w:rsid w:val="33F73CD2"/>
    <w:rsid w:val="34C50171"/>
    <w:rsid w:val="35277F49"/>
    <w:rsid w:val="3572573D"/>
    <w:rsid w:val="35DB27A2"/>
    <w:rsid w:val="3625596E"/>
    <w:rsid w:val="363D3C9A"/>
    <w:rsid w:val="375E2E51"/>
    <w:rsid w:val="386E78AD"/>
    <w:rsid w:val="38FE3710"/>
    <w:rsid w:val="391F0440"/>
    <w:rsid w:val="39255B4E"/>
    <w:rsid w:val="398C67F7"/>
    <w:rsid w:val="3A281EF8"/>
    <w:rsid w:val="3AE26408"/>
    <w:rsid w:val="3B117EE8"/>
    <w:rsid w:val="3BEE5FE1"/>
    <w:rsid w:val="3C284EC1"/>
    <w:rsid w:val="3C697EA9"/>
    <w:rsid w:val="3C960076"/>
    <w:rsid w:val="3DD209D6"/>
    <w:rsid w:val="3DDF0D0F"/>
    <w:rsid w:val="3E1C6F26"/>
    <w:rsid w:val="3E7A05BD"/>
    <w:rsid w:val="3E900306"/>
    <w:rsid w:val="3F8D7751"/>
    <w:rsid w:val="416702DC"/>
    <w:rsid w:val="424B4616"/>
    <w:rsid w:val="4326105A"/>
    <w:rsid w:val="43AB7211"/>
    <w:rsid w:val="43D17451"/>
    <w:rsid w:val="446E4C37"/>
    <w:rsid w:val="44A43B7B"/>
    <w:rsid w:val="45662D6A"/>
    <w:rsid w:val="45B71977"/>
    <w:rsid w:val="469943E1"/>
    <w:rsid w:val="46A55C75"/>
    <w:rsid w:val="474F020B"/>
    <w:rsid w:val="481A57D7"/>
    <w:rsid w:val="487D16AC"/>
    <w:rsid w:val="48D76405"/>
    <w:rsid w:val="4A16425E"/>
    <w:rsid w:val="4A477482"/>
    <w:rsid w:val="4C3B7B29"/>
    <w:rsid w:val="4C552704"/>
    <w:rsid w:val="4C765BEE"/>
    <w:rsid w:val="4C8E5CA5"/>
    <w:rsid w:val="4CD447B5"/>
    <w:rsid w:val="4D2173E2"/>
    <w:rsid w:val="4D233F9A"/>
    <w:rsid w:val="4D2F19F3"/>
    <w:rsid w:val="4D714DAD"/>
    <w:rsid w:val="4DB04E83"/>
    <w:rsid w:val="4DBF3E19"/>
    <w:rsid w:val="4E373307"/>
    <w:rsid w:val="4F7DB801"/>
    <w:rsid w:val="4F953158"/>
    <w:rsid w:val="4F954764"/>
    <w:rsid w:val="4FE75B49"/>
    <w:rsid w:val="4FE92D8A"/>
    <w:rsid w:val="50FA097F"/>
    <w:rsid w:val="511A58F1"/>
    <w:rsid w:val="515A2406"/>
    <w:rsid w:val="516A26A0"/>
    <w:rsid w:val="51704512"/>
    <w:rsid w:val="527C6000"/>
    <w:rsid w:val="54C0055D"/>
    <w:rsid w:val="55100800"/>
    <w:rsid w:val="553539DB"/>
    <w:rsid w:val="563971EC"/>
    <w:rsid w:val="574249B5"/>
    <w:rsid w:val="577DA762"/>
    <w:rsid w:val="57A646D9"/>
    <w:rsid w:val="5A360971"/>
    <w:rsid w:val="5A862593"/>
    <w:rsid w:val="5AAB5958"/>
    <w:rsid w:val="5B9C56E2"/>
    <w:rsid w:val="5BE3661D"/>
    <w:rsid w:val="5BFD55F8"/>
    <w:rsid w:val="5C2217D9"/>
    <w:rsid w:val="5C7B4655"/>
    <w:rsid w:val="5CEC0170"/>
    <w:rsid w:val="5D0A22B2"/>
    <w:rsid w:val="5D290C69"/>
    <w:rsid w:val="5D432A17"/>
    <w:rsid w:val="5D4E06D0"/>
    <w:rsid w:val="5D7555CC"/>
    <w:rsid w:val="5DAC0B3F"/>
    <w:rsid w:val="5E715BCB"/>
    <w:rsid w:val="5ECF671B"/>
    <w:rsid w:val="5EFB11F7"/>
    <w:rsid w:val="5F6B3D33"/>
    <w:rsid w:val="5F6C1307"/>
    <w:rsid w:val="606E1F64"/>
    <w:rsid w:val="607B1C93"/>
    <w:rsid w:val="607D670A"/>
    <w:rsid w:val="60E8480C"/>
    <w:rsid w:val="61A47FD0"/>
    <w:rsid w:val="62740BD9"/>
    <w:rsid w:val="62B227ED"/>
    <w:rsid w:val="62B32F3C"/>
    <w:rsid w:val="62DE1443"/>
    <w:rsid w:val="62E713AB"/>
    <w:rsid w:val="64084337"/>
    <w:rsid w:val="6539648D"/>
    <w:rsid w:val="65490238"/>
    <w:rsid w:val="65FDDC28"/>
    <w:rsid w:val="665074BD"/>
    <w:rsid w:val="665541AD"/>
    <w:rsid w:val="6693059E"/>
    <w:rsid w:val="66CF38B7"/>
    <w:rsid w:val="685F3DFB"/>
    <w:rsid w:val="68794763"/>
    <w:rsid w:val="68E92303"/>
    <w:rsid w:val="69123E71"/>
    <w:rsid w:val="69DC353A"/>
    <w:rsid w:val="6B00369D"/>
    <w:rsid w:val="6B0B23B4"/>
    <w:rsid w:val="6B8A44FA"/>
    <w:rsid w:val="6BAB5D34"/>
    <w:rsid w:val="6BAC37B5"/>
    <w:rsid w:val="6BDC24C0"/>
    <w:rsid w:val="6C970199"/>
    <w:rsid w:val="6CFB1CAA"/>
    <w:rsid w:val="6D01784A"/>
    <w:rsid w:val="6D8A7A6E"/>
    <w:rsid w:val="6DDB1051"/>
    <w:rsid w:val="6E815F40"/>
    <w:rsid w:val="6F99653F"/>
    <w:rsid w:val="70776C11"/>
    <w:rsid w:val="70967099"/>
    <w:rsid w:val="709A5B38"/>
    <w:rsid w:val="710371FC"/>
    <w:rsid w:val="72B953FC"/>
    <w:rsid w:val="73496055"/>
    <w:rsid w:val="73A564E3"/>
    <w:rsid w:val="73EC155D"/>
    <w:rsid w:val="7407627C"/>
    <w:rsid w:val="74277859"/>
    <w:rsid w:val="743C3895"/>
    <w:rsid w:val="74703A51"/>
    <w:rsid w:val="750E0A19"/>
    <w:rsid w:val="752C20C8"/>
    <w:rsid w:val="75316E5A"/>
    <w:rsid w:val="75C77D48"/>
    <w:rsid w:val="76CF60FA"/>
    <w:rsid w:val="773DE8E4"/>
    <w:rsid w:val="777B1237"/>
    <w:rsid w:val="792C44AC"/>
    <w:rsid w:val="79780B57"/>
    <w:rsid w:val="799C8C53"/>
    <w:rsid w:val="79DC6A1F"/>
    <w:rsid w:val="7B139938"/>
    <w:rsid w:val="7B571C68"/>
    <w:rsid w:val="7BEB586E"/>
    <w:rsid w:val="7BFD4C0D"/>
    <w:rsid w:val="7CE9E3E3"/>
    <w:rsid w:val="7CFF0317"/>
    <w:rsid w:val="7D684ECB"/>
    <w:rsid w:val="7F731AA8"/>
    <w:rsid w:val="7FBFAB52"/>
    <w:rsid w:val="7FD77601"/>
    <w:rsid w:val="7FDC5A52"/>
    <w:rsid w:val="7FED30ED"/>
    <w:rsid w:val="7FEECC0A"/>
    <w:rsid w:val="7FF7FDC0"/>
    <w:rsid w:val="7FFF42AD"/>
    <w:rsid w:val="91B7C6E6"/>
    <w:rsid w:val="AFF7AC3E"/>
    <w:rsid w:val="AFFFB923"/>
    <w:rsid w:val="BFEFE38C"/>
    <w:rsid w:val="CDFB8706"/>
    <w:rsid w:val="CEEF0D87"/>
    <w:rsid w:val="D8FFC594"/>
    <w:rsid w:val="DAF54A44"/>
    <w:rsid w:val="DBFC1203"/>
    <w:rsid w:val="EDFFBC66"/>
    <w:rsid w:val="EF3DE722"/>
    <w:rsid w:val="EFFEC446"/>
    <w:rsid w:val="F5D98EF0"/>
    <w:rsid w:val="F77BBADD"/>
    <w:rsid w:val="F9A7AEA9"/>
    <w:rsid w:val="F9C3592A"/>
    <w:rsid w:val="FB79E398"/>
    <w:rsid w:val="FB7BE4F5"/>
    <w:rsid w:val="FBC5AFD1"/>
    <w:rsid w:val="FBFA36D2"/>
    <w:rsid w:val="FB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 w:line="720" w:lineRule="auto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标题 字符"/>
    <w:basedOn w:val="10"/>
    <w:link w:val="7"/>
    <w:qFormat/>
    <w:uiPriority w:val="10"/>
    <w:rPr>
      <w:rFonts w:eastAsia="黑体" w:asciiTheme="majorHAnsi" w:hAnsiTheme="majorHAnsi" w:cstheme="majorBidi"/>
      <w:b/>
      <w:bCs/>
      <w:sz w:val="36"/>
      <w:szCs w:val="32"/>
    </w:rPr>
  </w:style>
  <w:style w:type="paragraph" w:styleId="15">
    <w:name w:val="List Paragraph"/>
    <w:basedOn w:val="1"/>
    <w:semiHidden/>
    <w:unhideWhenUsed/>
    <w:qFormat/>
    <w:uiPriority w:val="99"/>
    <w:pPr>
      <w:ind w:firstLine="420"/>
    </w:pPr>
  </w:style>
  <w:style w:type="paragraph" w:customStyle="1" w:styleId="16">
    <w:name w:val="reader-word-layer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customStyle="1" w:styleId="17">
    <w:name w:val="发文机关"/>
    <w:qFormat/>
    <w:uiPriority w:val="0"/>
    <w:pPr>
      <w:adjustRightInd w:val="0"/>
      <w:snapToGrid w:val="0"/>
      <w:spacing w:after="624" w:afterLines="200"/>
      <w:jc w:val="center"/>
    </w:pPr>
    <w:rPr>
      <w:rFonts w:ascii="Calibri" w:hAnsi="Calibri" w:eastAsia="宋体" w:cs="Times New Roman"/>
      <w:b/>
      <w:color w:val="FF0000"/>
      <w:w w:val="60"/>
      <w:kern w:val="2"/>
      <w:sz w:val="130"/>
      <w:szCs w:val="130"/>
      <w:lang w:val="en-US" w:eastAsia="zh-CN" w:bidi="ar-SA"/>
    </w:rPr>
  </w:style>
  <w:style w:type="paragraph" w:customStyle="1" w:styleId="18">
    <w:name w:val="发文字号"/>
    <w:qFormat/>
    <w:uiPriority w:val="0"/>
    <w:pPr>
      <w:pBdr>
        <w:bottom w:val="single" w:color="FF0000" w:sz="18" w:space="1"/>
      </w:pBdr>
      <w:jc w:val="center"/>
    </w:pPr>
    <w:rPr>
      <w:rFonts w:ascii="Calibri" w:hAnsi="Calibri" w:eastAsia="仿宋" w:cs="Times New Roman"/>
      <w:kern w:val="2"/>
      <w:sz w:val="32"/>
      <w:szCs w:val="21"/>
      <w:lang w:val="en-US" w:eastAsia="zh-CN" w:bidi="ar-SA"/>
    </w:rPr>
  </w:style>
  <w:style w:type="paragraph" w:customStyle="1" w:styleId="19">
    <w:name w:val="公文标题"/>
    <w:qFormat/>
    <w:uiPriority w:val="0"/>
    <w:pPr>
      <w:adjustRightInd w:val="0"/>
      <w:snapToGrid w:val="0"/>
      <w:spacing w:before="624" w:beforeLines="200" w:after="624" w:afterLines="200"/>
      <w:jc w:val="center"/>
    </w:pPr>
    <w:rPr>
      <w:rFonts w:ascii="Calibri" w:hAnsi="Calibri" w:eastAsia="宋体" w:cs="Times New Roman"/>
      <w:kern w:val="2"/>
      <w:sz w:val="44"/>
      <w:szCs w:val="21"/>
      <w:lang w:val="en-US" w:eastAsia="zh-CN" w:bidi="ar-SA"/>
    </w:rPr>
  </w:style>
  <w:style w:type="paragraph" w:customStyle="1" w:styleId="20">
    <w:name w:val="成文日期"/>
    <w:qFormat/>
    <w:uiPriority w:val="0"/>
    <w:pPr>
      <w:ind w:right="1280" w:rightChars="400"/>
      <w:jc w:val="right"/>
    </w:pPr>
    <w:rPr>
      <w:rFonts w:ascii="Calibri" w:hAnsi="Calibri" w:eastAsia="仿宋" w:cs="Times New Roman"/>
      <w:kern w:val="2"/>
      <w:sz w:val="32"/>
      <w:szCs w:val="21"/>
      <w:lang w:val="en-US" w:eastAsia="zh-CN" w:bidi="ar-SA"/>
    </w:rPr>
  </w:style>
  <w:style w:type="paragraph" w:customStyle="1" w:styleId="21">
    <w:name w:val="公文正文"/>
    <w:basedOn w:val="1"/>
    <w:qFormat/>
    <w:uiPriority w:val="0"/>
    <w:pPr>
      <w:widowControl/>
      <w:spacing w:line="240" w:lineRule="auto"/>
      <w:ind w:firstLine="600"/>
      <w:jc w:val="left"/>
    </w:pPr>
    <w:rPr>
      <w:rFonts w:hint="eastAsia" w:ascii="方正仿宋_GB2312" w:hAnsi="方正仿宋_GB2312" w:eastAsia="方正仿宋_GB2312" w:cs="方正仿宋_GB2312"/>
      <w:bCs/>
      <w:sz w:val="32"/>
      <w:szCs w:val="32"/>
    </w:rPr>
  </w:style>
  <w:style w:type="paragraph" w:customStyle="1" w:styleId="22">
    <w:name w:val="一级标题"/>
    <w:basedOn w:val="1"/>
    <w:qFormat/>
    <w:uiPriority w:val="0"/>
    <w:pPr>
      <w:spacing w:line="240" w:lineRule="auto"/>
      <w:ind w:firstLine="640"/>
    </w:pPr>
    <w:rPr>
      <w:rFonts w:hint="eastAsia" w:ascii="Times New Roman" w:hAnsi="Times New Roman" w:eastAsia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D689A-ECCB-428A-B97C-678852852D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4391</Words>
  <Characters>4463</Characters>
  <Lines>34</Lines>
  <Paragraphs>9</Paragraphs>
  <TotalTime>1</TotalTime>
  <ScaleCrop>false</ScaleCrop>
  <LinksUpToDate>false</LinksUpToDate>
  <CharactersWithSpaces>4471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2025-07-17T18:01:00Z</dcterms:created>
  <dc:creator>John Tao</dc:creator>
  <cp:lastModifiedBy>John Tao</cp:lastModifiedBy>
  <dcterms:modified xsi:type="dcterms:W3CDTF">2026-05-29T00:40:44Z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55BE507894044287AD18F8700FE8766C_11</vt:lpwstr>
  </property>
  <property fmtid="{D5CDD505-2E9C-101B-9397-08002B2CF9AE}" pid="4" name="KSOTemplateUUID">
    <vt:lpwstr>v1.0_mb_sBT7nQ7wPrTCIeQzah2MDw==</vt:lpwstr>
  </property>
  <property fmtid="{D5CDD505-2E9C-101B-9397-08002B2CF9AE}" pid="5" name="KSOTemplateDocerSaveRecord">
    <vt:lpwstr>eyJoZGlkIjoiMDExNzRhYWUwYjdkNjhkOGIzZGMyYzFmODUzNDdiOTYiLCJ1c2VySWQiOiIyNzQ5MDg3NjAifQ==</vt:lpwstr>
  </property>
</Properties>
</file>